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6D2400A2" w14:textId="77777777" w:rsidTr="005954DF">
        <w:trPr>
          <w:trHeight w:hRule="exact" w:val="1361"/>
        </w:trPr>
        <w:tc>
          <w:tcPr>
            <w:tcW w:w="7370" w:type="dxa"/>
            <w:shd w:val="clear" w:color="auto" w:fill="auto"/>
            <w:tcMar>
              <w:left w:w="0" w:type="dxa"/>
              <w:right w:w="0" w:type="dxa"/>
            </w:tcMar>
          </w:tcPr>
          <w:p w14:paraId="460FF482" w14:textId="3A66C38B" w:rsidR="003735BB" w:rsidRPr="005954DF" w:rsidRDefault="006E367F" w:rsidP="00D932BD">
            <w:pPr>
              <w:pStyle w:val="RGSTitle"/>
              <w:framePr w:hSpace="0" w:wrap="auto" w:vAnchor="margin" w:hAnchor="text" w:xAlign="left" w:yAlign="inline"/>
            </w:pPr>
            <w:r>
              <w:t>Greek earthquake swarm</w:t>
            </w:r>
          </w:p>
        </w:tc>
      </w:tr>
    </w:tbl>
    <w:p w14:paraId="193925CA" w14:textId="77777777" w:rsidR="00C02692" w:rsidRDefault="00C02692" w:rsidP="001C3205"/>
    <w:p w14:paraId="406B6F41" w14:textId="77777777" w:rsidR="00C02692" w:rsidRDefault="00C02692" w:rsidP="001C3205">
      <w:pPr>
        <w:sectPr w:rsidR="00C02692" w:rsidSect="003B6E97">
          <w:headerReference w:type="default" r:id="rId10"/>
          <w:type w:val="continuous"/>
          <w:pgSz w:w="11907" w:h="16840" w:code="9"/>
          <w:pgMar w:top="3544" w:right="1418" w:bottom="907" w:left="1418" w:header="709" w:footer="510" w:gutter="0"/>
          <w:cols w:space="708"/>
          <w:docGrid w:linePitch="360"/>
        </w:sectPr>
      </w:pPr>
    </w:p>
    <w:p w14:paraId="7497E548" w14:textId="30DBA903" w:rsidR="00C02692" w:rsidRDefault="006E367F" w:rsidP="006E367F">
      <w:pPr>
        <w:pStyle w:val="Heading1"/>
        <w:jc w:val="both"/>
      </w:pPr>
      <w:r>
        <w:t>Introduction</w:t>
      </w:r>
    </w:p>
    <w:p w14:paraId="3B3BCC58" w14:textId="3CC8E21E" w:rsidR="00257653" w:rsidRDefault="00257653" w:rsidP="006E367F">
      <w:pPr>
        <w:jc w:val="both"/>
      </w:pPr>
      <w:r w:rsidRPr="00257653">
        <w:t>Greece is one of Europe’s most earthquake-prone countries, experiencing an average of 25,000 earthquakes per year. However, the earthquake swarm that began on January 31, 2025, does not follow the typical seismic patterns of the region. These swarms have led to a 297% increase in the two-day average of recorded earthquakes.</w:t>
      </w:r>
      <w:r>
        <w:rPr>
          <w:rStyle w:val="FootnoteReference"/>
        </w:rPr>
        <w:footnoteReference w:id="1"/>
      </w:r>
    </w:p>
    <w:p w14:paraId="6443D104" w14:textId="77777777" w:rsidR="007B14D5" w:rsidRDefault="007B14D5" w:rsidP="006E367F">
      <w:pPr>
        <w:jc w:val="both"/>
      </w:pPr>
    </w:p>
    <w:p w14:paraId="78BE9A5B" w14:textId="5CF1D94E" w:rsidR="007B14D5" w:rsidRDefault="007B14D5" w:rsidP="007B14D5">
      <w:pPr>
        <w:jc w:val="both"/>
      </w:pPr>
      <w:r w:rsidRPr="007B14D5">
        <w:t>An earthquake swarm is a sequence of mostly small tremors without a single, dominant mainshock, and it can last anywhere from days to months.</w:t>
      </w:r>
      <w:r w:rsidRPr="007B14D5">
        <w:rPr>
          <w:rStyle w:val="FootnoteReference"/>
        </w:rPr>
        <w:t xml:space="preserve"> </w:t>
      </w:r>
      <w:r>
        <w:rPr>
          <w:rStyle w:val="FootnoteReference"/>
        </w:rPr>
        <w:footnoteReference w:id="2"/>
      </w:r>
    </w:p>
    <w:p w14:paraId="39FE090B" w14:textId="77777777" w:rsidR="007B14D5" w:rsidRPr="007B14D5" w:rsidRDefault="007B14D5" w:rsidP="007B14D5">
      <w:pPr>
        <w:jc w:val="both"/>
      </w:pPr>
    </w:p>
    <w:p w14:paraId="43349FFA" w14:textId="42D1863A" w:rsidR="007B14D5" w:rsidRPr="007B14D5" w:rsidRDefault="007B14D5" w:rsidP="007B14D5">
      <w:pPr>
        <w:jc w:val="both"/>
      </w:pPr>
      <w:r w:rsidRPr="007B14D5">
        <w:t>Between 9</w:t>
      </w:r>
      <w:r w:rsidR="00011C1C">
        <w:t>:</w:t>
      </w:r>
      <w:r w:rsidR="00011C1C" w:rsidRPr="00011C1C">
        <w:t>00</w:t>
      </w:r>
      <w:r w:rsidRPr="007B14D5">
        <w:t xml:space="preserve"> on </w:t>
      </w:r>
      <w:r w:rsidR="00011C1C" w:rsidRPr="007B14D5">
        <w:t>20</w:t>
      </w:r>
      <w:r w:rsidR="00011C1C">
        <w:t xml:space="preserve"> </w:t>
      </w:r>
      <w:r w:rsidRPr="007B14D5">
        <w:t>February and 9</w:t>
      </w:r>
      <w:r w:rsidR="00011C1C">
        <w:t>:00</w:t>
      </w:r>
      <w:r w:rsidRPr="007B14D5">
        <w:t xml:space="preserve"> on </w:t>
      </w:r>
      <w:r w:rsidR="00011C1C" w:rsidRPr="007B14D5">
        <w:t>21</w:t>
      </w:r>
      <w:r w:rsidR="00011C1C">
        <w:t xml:space="preserve"> </w:t>
      </w:r>
      <w:r w:rsidRPr="007B14D5">
        <w:t>February, the Aristotle University of Thessaloniki</w:t>
      </w:r>
      <w:r w:rsidR="00734EBD">
        <w:t xml:space="preserve"> (AUTH)</w:t>
      </w:r>
      <w:r w:rsidRPr="007B14D5">
        <w:t xml:space="preserve"> Seismological Station recorded over 67 earthquakes within </w:t>
      </w:r>
      <w:r w:rsidR="00023AEF">
        <w:t>the</w:t>
      </w:r>
      <w:r w:rsidRPr="007B14D5">
        <w:t xml:space="preserve"> 24-hour period, all occurring in the Aegean Sea.</w:t>
      </w:r>
    </w:p>
    <w:p w14:paraId="2C8C95E3" w14:textId="77777777" w:rsidR="007B14D5" w:rsidRDefault="007B14D5" w:rsidP="006E367F">
      <w:pPr>
        <w:jc w:val="both"/>
      </w:pPr>
    </w:p>
    <w:p w14:paraId="50BC25C3" w14:textId="77777777" w:rsidR="00ED5FF4" w:rsidRDefault="00ED5FF4" w:rsidP="006E367F">
      <w:pPr>
        <w:jc w:val="both"/>
      </w:pPr>
    </w:p>
    <w:p w14:paraId="1FC36943" w14:textId="6DF869BA" w:rsidR="00ED5FF4" w:rsidRDefault="00F5069D" w:rsidP="0008432F">
      <w:pPr>
        <w:jc w:val="center"/>
      </w:pPr>
      <w:r>
        <w:rPr>
          <w:noProof/>
        </w:rPr>
        <w:drawing>
          <wp:inline distT="0" distB="0" distL="0" distR="0" wp14:anchorId="6DFCE932" wp14:editId="6C419DE3">
            <wp:extent cx="4580357" cy="2751539"/>
            <wp:effectExtent l="0" t="0" r="0" b="0"/>
            <wp:docPr id="1328990175" name="Picture 2" descr="A graph showing earthquakes in the Aegean 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990175" name="Picture 2" descr="A graph showing earthquakes in the Aegean se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80357" cy="2751539"/>
                    </a:xfrm>
                    <a:prstGeom prst="rect">
                      <a:avLst/>
                    </a:prstGeom>
                  </pic:spPr>
                </pic:pic>
              </a:graphicData>
            </a:graphic>
          </wp:inline>
        </w:drawing>
      </w:r>
    </w:p>
    <w:p w14:paraId="2684CA10" w14:textId="77777777" w:rsidR="00F5069D" w:rsidRDefault="00F5069D" w:rsidP="006E367F">
      <w:pPr>
        <w:jc w:val="both"/>
      </w:pPr>
    </w:p>
    <w:p w14:paraId="2CBF7FC3" w14:textId="58211D33" w:rsidR="00F5069D" w:rsidRDefault="00F5069D" w:rsidP="006E367F">
      <w:pPr>
        <w:jc w:val="both"/>
      </w:pPr>
      <w:r>
        <w:t>Figure 1:</w:t>
      </w:r>
      <w:r w:rsidR="006C7F05">
        <w:t xml:space="preserve"> Magnitude of earthquakes registered in the Ae</w:t>
      </w:r>
      <w:r w:rsidR="009B241D">
        <w:t>gean Sea in a 24-hour period from 20 – 21 February 2025</w:t>
      </w:r>
      <w:r w:rsidR="00743757">
        <w:t xml:space="preserve"> © RGS, Source: </w:t>
      </w:r>
      <w:hyperlink r:id="rId12" w:history="1">
        <w:r w:rsidR="001D56B2" w:rsidRPr="001D56B2">
          <w:rPr>
            <w:rStyle w:val="Hyperlink"/>
          </w:rPr>
          <w:t>AUTH Seismological Station</w:t>
        </w:r>
      </w:hyperlink>
    </w:p>
    <w:p w14:paraId="67E29BCD" w14:textId="77777777" w:rsidR="00FB7B48" w:rsidRDefault="00FB7B48" w:rsidP="006E367F">
      <w:pPr>
        <w:jc w:val="both"/>
      </w:pPr>
    </w:p>
    <w:p w14:paraId="78B66BE6" w14:textId="1FB23952" w:rsidR="00FB7B48" w:rsidRDefault="000B5A3C" w:rsidP="006E367F">
      <w:pPr>
        <w:jc w:val="both"/>
      </w:pPr>
      <w:r>
        <w:t>The earthquake swarm is mainly c</w:t>
      </w:r>
      <w:r w:rsidR="00364EFD">
        <w:t>oncentrated</w:t>
      </w:r>
      <w:r>
        <w:t xml:space="preserve"> </w:t>
      </w:r>
      <w:r w:rsidR="0075744D">
        <w:t>in</w:t>
      </w:r>
      <w:r w:rsidR="007C199B">
        <w:t xml:space="preserve"> the </w:t>
      </w:r>
      <w:r w:rsidR="00BA6DE6">
        <w:t xml:space="preserve">South Aegean Sea </w:t>
      </w:r>
      <w:r w:rsidR="00364EFD">
        <w:t>near</w:t>
      </w:r>
      <w:r w:rsidR="00BA6DE6">
        <w:t xml:space="preserve"> the </w:t>
      </w:r>
      <w:r w:rsidR="00BC6767">
        <w:t xml:space="preserve">Cyclades Islands of </w:t>
      </w:r>
      <w:r w:rsidR="0021583E">
        <w:t xml:space="preserve">Santorini, </w:t>
      </w:r>
      <w:r w:rsidR="0075744D">
        <w:t xml:space="preserve">Amorgos, Anafi and Ios. </w:t>
      </w:r>
    </w:p>
    <w:p w14:paraId="26565485" w14:textId="77777777" w:rsidR="006E367F" w:rsidRDefault="006E367F" w:rsidP="006E367F">
      <w:pPr>
        <w:jc w:val="both"/>
      </w:pPr>
    </w:p>
    <w:p w14:paraId="524F5872" w14:textId="77777777" w:rsidR="007865C8" w:rsidRDefault="007865C8">
      <w:pPr>
        <w:rPr>
          <w:rFonts w:cs="Arial"/>
          <w:b/>
          <w:bCs/>
          <w:kern w:val="32"/>
          <w:sz w:val="24"/>
          <w:szCs w:val="32"/>
        </w:rPr>
      </w:pPr>
      <w:r>
        <w:br w:type="page"/>
      </w:r>
    </w:p>
    <w:p w14:paraId="69DEF8CE" w14:textId="4F88E894" w:rsidR="006E367F" w:rsidRDefault="007C199B" w:rsidP="006E367F">
      <w:pPr>
        <w:pStyle w:val="Heading1"/>
        <w:jc w:val="both"/>
      </w:pPr>
      <w:r>
        <w:lastRenderedPageBreak/>
        <w:t>Tectonics</w:t>
      </w:r>
    </w:p>
    <w:p w14:paraId="493CCDEF" w14:textId="4324D58C" w:rsidR="00AD73E9" w:rsidRDefault="00D32497" w:rsidP="006E367F">
      <w:pPr>
        <w:jc w:val="both"/>
      </w:pPr>
      <w:r w:rsidRPr="00D32497">
        <w:t xml:space="preserve">The Cyclades Islands are located north of the Hellenic subduction zone, where the African plate is moving northward beneath the Aegean sub-plate of the Eurasian plate at an average rate of 35mm per year. The earthquakes occurring during the swarm are relatively shallow, with an average focal depth of 7km. While a few tremors have reached a magnitude of 5.1, most have been </w:t>
      </w:r>
      <w:r w:rsidR="009E5DCA" w:rsidRPr="00D32497">
        <w:t>low intensity</w:t>
      </w:r>
      <w:r w:rsidRPr="00D32497">
        <w:t>, averaging a magnitude of 3.</w:t>
      </w:r>
    </w:p>
    <w:p w14:paraId="41A1AE6B" w14:textId="3FB5CDC2" w:rsidR="00F34143" w:rsidRDefault="00795662" w:rsidP="0008432F">
      <w:pPr>
        <w:jc w:val="center"/>
      </w:pPr>
      <w:r>
        <w:rPr>
          <w:noProof/>
        </w:rPr>
        <w:drawing>
          <wp:inline distT="0" distB="0" distL="0" distR="0" wp14:anchorId="3CA3604C" wp14:editId="79AD51CE">
            <wp:extent cx="4333461" cy="4812965"/>
            <wp:effectExtent l="0" t="0" r="0" b="6985"/>
            <wp:docPr id="843397403" name="Picture 5" descr="Map of Greece showing the direction of the African and Eurasian Plates as well as the location of the Islands affected by earthquak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397403" name="Picture 5" descr="Map of Greece showing the direction of the African and Eurasian Plates as well as the location of the Islands affected by earthquakes. "/>
                    <pic:cNvPicPr/>
                  </pic:nvPicPr>
                  <pic:blipFill>
                    <a:blip r:embed="rId13">
                      <a:extLst>
                        <a:ext uri="{28A0092B-C50C-407E-A947-70E740481C1C}">
                          <a14:useLocalDpi xmlns:a14="http://schemas.microsoft.com/office/drawing/2010/main" val="0"/>
                        </a:ext>
                      </a:extLst>
                    </a:blip>
                    <a:stretch>
                      <a:fillRect/>
                    </a:stretch>
                  </pic:blipFill>
                  <pic:spPr>
                    <a:xfrm>
                      <a:off x="0" y="0"/>
                      <a:ext cx="4344768" cy="4825523"/>
                    </a:xfrm>
                    <a:prstGeom prst="rect">
                      <a:avLst/>
                    </a:prstGeom>
                  </pic:spPr>
                </pic:pic>
              </a:graphicData>
            </a:graphic>
          </wp:inline>
        </w:drawing>
      </w:r>
    </w:p>
    <w:p w14:paraId="72863339" w14:textId="3DC90E45" w:rsidR="00F34143" w:rsidRPr="00603575" w:rsidRDefault="00F34143" w:rsidP="006E367F">
      <w:pPr>
        <w:jc w:val="both"/>
      </w:pPr>
    </w:p>
    <w:p w14:paraId="6B4C517C" w14:textId="690D7BD0" w:rsidR="006E367F" w:rsidRDefault="0008432F" w:rsidP="006E367F">
      <w:pPr>
        <w:jc w:val="both"/>
      </w:pPr>
      <w:r>
        <w:t xml:space="preserve">Figure 2: </w:t>
      </w:r>
      <w:r w:rsidR="00355833">
        <w:t>Map of the plate boundaries in the south Aegean Sea ©</w:t>
      </w:r>
      <w:r w:rsidR="00E16917">
        <w:t xml:space="preserve"> </w:t>
      </w:r>
      <w:r w:rsidR="00355833">
        <w:t>RGS, source: USGS</w:t>
      </w:r>
    </w:p>
    <w:p w14:paraId="444524C6" w14:textId="77777777" w:rsidR="00BC377A" w:rsidRDefault="00BC377A"/>
    <w:p w14:paraId="15879068" w14:textId="51074EDB" w:rsidR="009E5DCA" w:rsidRPr="009E5DCA" w:rsidRDefault="009E5DCA" w:rsidP="009E5DCA">
      <w:pPr>
        <w:jc w:val="both"/>
      </w:pPr>
      <w:r w:rsidRPr="009E5DCA">
        <w:t xml:space="preserve">Santorini is geologically famous for the massive Minoan eruption </w:t>
      </w:r>
      <w:r>
        <w:t>circa</w:t>
      </w:r>
      <w:r w:rsidRPr="009E5DCA">
        <w:t xml:space="preserve"> 1600 BCE</w:t>
      </w:r>
      <w:r w:rsidR="0004565F">
        <w:t xml:space="preserve"> and thought to be the cause of the decline of the Minoan civilisation</w:t>
      </w:r>
      <w:r w:rsidRPr="009E5DCA">
        <w:t>. This catastrophic volcanic event devastated much of Thera (modern-day Santorini), triggered a mega-tsunami that reached Crete’s northern coas</w:t>
      </w:r>
      <w:r>
        <w:t xml:space="preserve">t - </w:t>
      </w:r>
      <w:r w:rsidRPr="009E5DCA">
        <w:t>110km away</w:t>
      </w:r>
      <w:r>
        <w:t xml:space="preserve"> - </w:t>
      </w:r>
      <w:r w:rsidRPr="009E5DCA">
        <w:t>and unleashed pyroclastic flows, mudflows, and lava fountains. Pumice from the eruption has been discovered as far away as Israel and Egypt. The caldera formed by this eruption is what shapes Santorini’s dramatic cliffs and stunning sea views, making it one of the most iconic tourist destinations in the world.</w:t>
      </w:r>
    </w:p>
    <w:p w14:paraId="20B5C6B1" w14:textId="3234254C" w:rsidR="00BC377A" w:rsidRDefault="00BC377A" w:rsidP="00132969">
      <w:pPr>
        <w:jc w:val="both"/>
      </w:pPr>
      <w:r>
        <w:br w:type="page"/>
      </w:r>
    </w:p>
    <w:p w14:paraId="6AE2DFA1" w14:textId="77777777" w:rsidR="00BC377A" w:rsidRDefault="00BC377A" w:rsidP="006E367F">
      <w:pPr>
        <w:jc w:val="both"/>
      </w:pPr>
    </w:p>
    <w:p w14:paraId="444DA05F" w14:textId="48F1C2F9" w:rsidR="006E367F" w:rsidRDefault="00172A68" w:rsidP="006E367F">
      <w:pPr>
        <w:pStyle w:val="Heading1"/>
        <w:jc w:val="both"/>
      </w:pPr>
      <w:r>
        <w:t>Effects</w:t>
      </w:r>
    </w:p>
    <w:p w14:paraId="444F38D1" w14:textId="275956DA" w:rsidR="00C513EB" w:rsidRDefault="00221BE5" w:rsidP="006E367F">
      <w:pPr>
        <w:jc w:val="both"/>
      </w:pPr>
      <w:r w:rsidRPr="00221BE5">
        <w:t>The ongoing earthquake swarm has led four Cycladic islands to declare a state of emergency.</w:t>
      </w:r>
      <w:r w:rsidR="00B70101">
        <w:t xml:space="preserve"> Santorini was the first island</w:t>
      </w:r>
      <w:r w:rsidR="00200345">
        <w:t xml:space="preserve"> to do so</w:t>
      </w:r>
      <w:r w:rsidR="00B70101">
        <w:t xml:space="preserve"> on </w:t>
      </w:r>
      <w:r w:rsidR="005E06A0">
        <w:t>6 February followed by Amo</w:t>
      </w:r>
      <w:r w:rsidR="00F33D60">
        <w:t xml:space="preserve">rgos on 12 February, Anafi on 13 and Ios on 15 February. </w:t>
      </w:r>
    </w:p>
    <w:p w14:paraId="6DBE57E9" w14:textId="77777777" w:rsidR="00C513EB" w:rsidRDefault="00C513EB" w:rsidP="006E367F">
      <w:pPr>
        <w:jc w:val="both"/>
      </w:pPr>
    </w:p>
    <w:p w14:paraId="710E2AF5" w14:textId="11B34984" w:rsidR="006E367F" w:rsidRPr="00603575" w:rsidRDefault="006D7A8E" w:rsidP="006E367F">
      <w:pPr>
        <w:jc w:val="both"/>
      </w:pPr>
      <w:r>
        <w:t>Santorini</w:t>
      </w:r>
      <w:r w:rsidR="00200345">
        <w:t>, known for its icon</w:t>
      </w:r>
      <w:r w:rsidR="0025253D">
        <w:t>ic</w:t>
      </w:r>
      <w:r>
        <w:t xml:space="preserve"> </w:t>
      </w:r>
      <w:r w:rsidR="00392150">
        <w:t xml:space="preserve">picture postcard images of Greece </w:t>
      </w:r>
      <w:r w:rsidR="006E143B">
        <w:t>receives approximately 1.3</w:t>
      </w:r>
      <w:r w:rsidR="002F714E">
        <w:t xml:space="preserve"> million tourists a year and has</w:t>
      </w:r>
      <w:r w:rsidR="00A67DE9">
        <w:t xml:space="preserve"> the highest revenue </w:t>
      </w:r>
      <w:r w:rsidR="00D6381D">
        <w:t xml:space="preserve">in the Cycladic Islands, </w:t>
      </w:r>
      <w:r w:rsidR="00392150">
        <w:t>generat</w:t>
      </w:r>
      <w:r w:rsidR="00D6381D">
        <w:t>ing</w:t>
      </w:r>
      <w:r w:rsidR="00392150">
        <w:t xml:space="preserve"> </w:t>
      </w:r>
      <w:r w:rsidR="00363DAE">
        <w:rPr>
          <w:rFonts w:cs="Arial"/>
        </w:rPr>
        <w:t>€</w:t>
      </w:r>
      <w:r w:rsidR="002530A5">
        <w:t>267.5 million</w:t>
      </w:r>
      <w:r w:rsidR="0042474C">
        <w:t xml:space="preserve"> in 2024</w:t>
      </w:r>
      <w:r w:rsidR="002530A5">
        <w:t xml:space="preserve"> during the tourist</w:t>
      </w:r>
      <w:r w:rsidR="008560EB">
        <w:t xml:space="preserve"> high season (July - September).  </w:t>
      </w:r>
    </w:p>
    <w:p w14:paraId="13DDF005" w14:textId="77777777" w:rsidR="006E367F" w:rsidRDefault="006E367F" w:rsidP="006E367F">
      <w:pPr>
        <w:jc w:val="both"/>
      </w:pPr>
    </w:p>
    <w:p w14:paraId="773F16BD" w14:textId="4FBEFFD5" w:rsidR="00FE332F" w:rsidRDefault="0087480F" w:rsidP="006E367F">
      <w:pPr>
        <w:jc w:val="both"/>
      </w:pPr>
      <w:r w:rsidRPr="0087480F">
        <w:t xml:space="preserve">With the state of emergency in place until at least </w:t>
      </w:r>
      <w:r>
        <w:t>3 March</w:t>
      </w:r>
      <w:r w:rsidRPr="0087480F">
        <w:t>, concerns are growing over the impact on tourism in 2025. Cruise ships that would typically stop in Santorini are already being rerouted to Crete and Syros, causing significant financial losses for the island.</w:t>
      </w:r>
    </w:p>
    <w:p w14:paraId="65B93CD3" w14:textId="77777777" w:rsidR="0087480F" w:rsidRDefault="0087480F" w:rsidP="006E367F">
      <w:pPr>
        <w:jc w:val="both"/>
      </w:pPr>
    </w:p>
    <w:p w14:paraId="3A9E6EF6" w14:textId="32C1C89B" w:rsidR="00FE332F" w:rsidRDefault="0087480F" w:rsidP="006E367F">
      <w:pPr>
        <w:jc w:val="both"/>
      </w:pPr>
      <w:r>
        <w:t>Many residents</w:t>
      </w:r>
      <w:r w:rsidR="00FE332F">
        <w:t xml:space="preserve"> have evacuated to Athens and other locations in Greece</w:t>
      </w:r>
      <w:r w:rsidR="00B41BF0">
        <w:t>. Those who have left</w:t>
      </w:r>
      <w:r w:rsidR="00192B49">
        <w:t xml:space="preserve"> fear for the security of their homes and businesses from looting</w:t>
      </w:r>
      <w:r w:rsidR="006F5612">
        <w:t>. Schools</w:t>
      </w:r>
      <w:r w:rsidR="00144384">
        <w:t xml:space="preserve"> are closed on the islands and alternative provision for education is being </w:t>
      </w:r>
      <w:r w:rsidR="00AB3B39">
        <w:t xml:space="preserve">discussed with children attending schools in other locations. </w:t>
      </w:r>
    </w:p>
    <w:p w14:paraId="1EF16425" w14:textId="77777777" w:rsidR="00702442" w:rsidRDefault="00702442" w:rsidP="006E367F">
      <w:pPr>
        <w:jc w:val="both"/>
      </w:pPr>
    </w:p>
    <w:p w14:paraId="7B07192D" w14:textId="797039F4" w:rsidR="00AD66ED" w:rsidRDefault="00D44633" w:rsidP="006E367F">
      <w:pPr>
        <w:jc w:val="both"/>
      </w:pPr>
      <w:r w:rsidRPr="00D44633">
        <w:t>Landslides have also been reported on Santorini due to the tremors. In response, residents have been seen patrolling hazardous areas to prevent tourists from risking their safety for photos on the island’s cliffs.</w:t>
      </w:r>
    </w:p>
    <w:p w14:paraId="782B9175" w14:textId="77777777" w:rsidR="00D44633" w:rsidRDefault="00D44633" w:rsidP="006E367F">
      <w:pPr>
        <w:jc w:val="both"/>
      </w:pPr>
    </w:p>
    <w:p w14:paraId="5CDA1659" w14:textId="50BD0B66" w:rsidR="00AD66ED" w:rsidRDefault="00AD66ED" w:rsidP="006E367F">
      <w:pPr>
        <w:jc w:val="both"/>
      </w:pPr>
      <w:r>
        <w:t xml:space="preserve">The Greek government </w:t>
      </w:r>
      <w:r w:rsidR="00914BFF">
        <w:t xml:space="preserve">is </w:t>
      </w:r>
      <w:r>
        <w:t xml:space="preserve">offering financial aid </w:t>
      </w:r>
      <w:r w:rsidR="003C2FA7">
        <w:t>to business</w:t>
      </w:r>
      <w:r w:rsidR="0042474C">
        <w:t>es</w:t>
      </w:r>
      <w:r w:rsidR="003C2FA7">
        <w:t xml:space="preserve"> for loss of earning</w:t>
      </w:r>
      <w:r w:rsidR="0078289D">
        <w:t>s on Santorini and Amorgos</w:t>
      </w:r>
      <w:r w:rsidR="00FC3C94">
        <w:t xml:space="preserve">, employees are set to receive </w:t>
      </w:r>
      <w:r w:rsidR="00877ED8">
        <w:rPr>
          <w:rFonts w:cs="Arial"/>
        </w:rPr>
        <w:t>€</w:t>
      </w:r>
      <w:r w:rsidR="00FC3C94">
        <w:t>5</w:t>
      </w:r>
      <w:r w:rsidR="00C0274D">
        <w:t>3</w:t>
      </w:r>
      <w:r w:rsidR="00FC3C94">
        <w:t xml:space="preserve">4 in compensation for loss of earnings between </w:t>
      </w:r>
      <w:r w:rsidR="0042474C">
        <w:t>1</w:t>
      </w:r>
      <w:r w:rsidR="00C0274D">
        <w:t xml:space="preserve"> February and 3 March. </w:t>
      </w:r>
    </w:p>
    <w:p w14:paraId="7767CE3E" w14:textId="77777777" w:rsidR="00A805B8" w:rsidRDefault="00A805B8" w:rsidP="006E367F">
      <w:pPr>
        <w:jc w:val="both"/>
      </w:pPr>
    </w:p>
    <w:p w14:paraId="7C08815C" w14:textId="3C9661CC" w:rsidR="00E562A2" w:rsidRDefault="00E562A2" w:rsidP="00E562A2">
      <w:pPr>
        <w:jc w:val="center"/>
      </w:pPr>
      <w:r>
        <w:rPr>
          <w:noProof/>
        </w:rPr>
        <w:drawing>
          <wp:inline distT="0" distB="0" distL="0" distR="0" wp14:anchorId="7032A533" wp14:editId="523A05F6">
            <wp:extent cx="2857569" cy="4285753"/>
            <wp:effectExtent l="0" t="0" r="0" b="635"/>
            <wp:docPr id="1698233799" name="Picture 3" descr="A view of the island of Santorini showing  white buildings on a hill by the ocea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233799" name="Picture 3" descr="A view of the island of Santorini showing  white buildings on a hill by the ocean&#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86087" cy="4328523"/>
                    </a:xfrm>
                    <a:prstGeom prst="rect">
                      <a:avLst/>
                    </a:prstGeom>
                  </pic:spPr>
                </pic:pic>
              </a:graphicData>
            </a:graphic>
          </wp:inline>
        </w:drawing>
      </w:r>
    </w:p>
    <w:p w14:paraId="56B4390A" w14:textId="3CC0E7C9" w:rsidR="00E562A2" w:rsidRDefault="00E562A2" w:rsidP="006E367F">
      <w:pPr>
        <w:jc w:val="both"/>
      </w:pPr>
      <w:r>
        <w:t xml:space="preserve">Figure 3: </w:t>
      </w:r>
      <w:r w:rsidR="00EF2CDF">
        <w:t>Island of Santorini ©</w:t>
      </w:r>
      <w:r w:rsidR="007865C8" w:rsidRPr="007865C8">
        <w:t xml:space="preserve"> Alex </w:t>
      </w:r>
      <w:proofErr w:type="spellStart"/>
      <w:r w:rsidR="007865C8" w:rsidRPr="007865C8">
        <w:t>Azabache</w:t>
      </w:r>
      <w:proofErr w:type="spellEnd"/>
      <w:r w:rsidR="007865C8">
        <w:t xml:space="preserve">, </w:t>
      </w:r>
      <w:r w:rsidR="007865C8" w:rsidRPr="007865C8">
        <w:t>Pexels</w:t>
      </w:r>
    </w:p>
    <w:p w14:paraId="4172C7C6" w14:textId="2595CFA3" w:rsidR="006E367F" w:rsidRDefault="00A62FD1" w:rsidP="006E367F">
      <w:pPr>
        <w:pStyle w:val="Heading1"/>
        <w:jc w:val="both"/>
      </w:pPr>
      <w:r>
        <w:lastRenderedPageBreak/>
        <w:t>Tracking and monitoring</w:t>
      </w:r>
    </w:p>
    <w:p w14:paraId="7D6A8A77" w14:textId="77777777" w:rsidR="00884D92" w:rsidRDefault="00884D92" w:rsidP="00884D92">
      <w:pPr>
        <w:jc w:val="both"/>
      </w:pPr>
      <w:r>
        <w:t>Greece experiences thousands of seismic events each year and has developed extensive methods for monitoring activity. The country operates over 150 seismic monitoring stations, providing real-time data through the Seismic Network. This data is crucial for identifying patterns in seismic activity and has been used by scientists for centuries to better understand and predict tectonic movements.</w:t>
      </w:r>
    </w:p>
    <w:p w14:paraId="7B4EE3E0" w14:textId="77777777" w:rsidR="00884D92" w:rsidRDefault="00884D92" w:rsidP="00884D92">
      <w:pPr>
        <w:jc w:val="both"/>
      </w:pPr>
    </w:p>
    <w:p w14:paraId="1D754ACA" w14:textId="1C88F0E7" w:rsidR="006E367F" w:rsidRDefault="00884D92" w:rsidP="00884D92">
      <w:pPr>
        <w:jc w:val="both"/>
      </w:pPr>
      <w:r>
        <w:t>For the first time, however, a team at the British Geological Survey is using machine learning algorithms to track the ongoing earthquake swarm. So far, this AI-driven approach has detected more seismic activity and identified early warning signs faster than traditional methods. The integration of AI in earthquake monitoring could mark a turning point in how such events are tracked and managed in the future.</w:t>
      </w:r>
    </w:p>
    <w:p w14:paraId="72241461" w14:textId="77777777" w:rsidR="00692E0E" w:rsidRDefault="00692E0E" w:rsidP="006E367F">
      <w:pPr>
        <w:jc w:val="both"/>
      </w:pPr>
    </w:p>
    <w:p w14:paraId="77A52573" w14:textId="17AADF66" w:rsidR="006E367F" w:rsidRDefault="00692E0E" w:rsidP="006E367F">
      <w:pPr>
        <w:pStyle w:val="Heading1"/>
        <w:jc w:val="both"/>
      </w:pPr>
      <w:r>
        <w:t xml:space="preserve">Further reading </w:t>
      </w:r>
    </w:p>
    <w:p w14:paraId="74302FC2" w14:textId="0E8D3F9F" w:rsidR="006E367F" w:rsidRDefault="009A1C17" w:rsidP="006E367F">
      <w:pPr>
        <w:jc w:val="both"/>
      </w:pPr>
      <w:hyperlink r:id="rId15" w:history="1">
        <w:r w:rsidRPr="009A1C17">
          <w:rPr>
            <w:rStyle w:val="Hyperlink"/>
          </w:rPr>
          <w:t>Artificial intelligence is proving a game changer in tracking the Santorini earthquake swarm, British Geological Survey Press 7</w:t>
        </w:r>
        <w:r w:rsidRPr="009A1C17">
          <w:rPr>
            <w:rStyle w:val="Hyperlink"/>
            <w:vertAlign w:val="superscript"/>
          </w:rPr>
          <w:t>th</w:t>
        </w:r>
        <w:r w:rsidRPr="009A1C17">
          <w:rPr>
            <w:rStyle w:val="Hyperlink"/>
          </w:rPr>
          <w:t xml:space="preserve"> February 2025</w:t>
        </w:r>
      </w:hyperlink>
    </w:p>
    <w:p w14:paraId="0AAA25D0" w14:textId="0425A258" w:rsidR="008408A9" w:rsidRDefault="008408A9" w:rsidP="006E367F">
      <w:pPr>
        <w:jc w:val="both"/>
      </w:pPr>
      <w:hyperlink r:id="rId16" w:anchor=":~:text=Tremors%20hitting%20Santorini%20reach%20new%20strength&amp;text=Santorini%20has%20been%20hit%20by,of%2017km%20(10.6%20miles)." w:history="1">
        <w:r w:rsidRPr="008408A9">
          <w:rPr>
            <w:rStyle w:val="Hyperlink"/>
          </w:rPr>
          <w:t>Tremors hitting Santorini reach new strength, BBC 10</w:t>
        </w:r>
        <w:r w:rsidRPr="008408A9">
          <w:rPr>
            <w:rStyle w:val="Hyperlink"/>
            <w:vertAlign w:val="superscript"/>
          </w:rPr>
          <w:t>th</w:t>
        </w:r>
        <w:r w:rsidRPr="008408A9">
          <w:rPr>
            <w:rStyle w:val="Hyperlink"/>
          </w:rPr>
          <w:t xml:space="preserve"> February 2025</w:t>
        </w:r>
      </w:hyperlink>
    </w:p>
    <w:p w14:paraId="31CB2231" w14:textId="60CE9929" w:rsidR="008408A9" w:rsidRDefault="00E707F8" w:rsidP="006E367F">
      <w:pPr>
        <w:jc w:val="both"/>
      </w:pPr>
      <w:hyperlink r:id="rId17" w:history="1">
        <w:r w:rsidRPr="009D0639">
          <w:rPr>
            <w:rStyle w:val="Hyperlink"/>
          </w:rPr>
          <w:t xml:space="preserve">An ‘earthquake swarm’ is shaking Santorini. It could persist for months, The Conversation </w:t>
        </w:r>
        <w:r w:rsidR="009D0639" w:rsidRPr="009D0639">
          <w:rPr>
            <w:rStyle w:val="Hyperlink"/>
          </w:rPr>
          <w:t>7</w:t>
        </w:r>
        <w:r w:rsidR="009D0639" w:rsidRPr="009D0639">
          <w:rPr>
            <w:rStyle w:val="Hyperlink"/>
            <w:vertAlign w:val="superscript"/>
          </w:rPr>
          <w:t>th</w:t>
        </w:r>
        <w:r w:rsidR="009D0639" w:rsidRPr="009D0639">
          <w:rPr>
            <w:rStyle w:val="Hyperlink"/>
          </w:rPr>
          <w:t xml:space="preserve"> February 2025</w:t>
        </w:r>
      </w:hyperlink>
    </w:p>
    <w:p w14:paraId="5EFAFB88" w14:textId="07131038" w:rsidR="00E02682" w:rsidRPr="00603575" w:rsidRDefault="00E02682" w:rsidP="006E367F">
      <w:pPr>
        <w:jc w:val="both"/>
      </w:pPr>
      <w:hyperlink r:id="rId18" w:anchor=":~:text=The%20data%20indicated%20that%20over,recorded%20at%20ML%205.2%20magnitude%20." w:history="1">
        <w:r w:rsidRPr="00057B2A">
          <w:rPr>
            <w:rStyle w:val="Hyperlink"/>
          </w:rPr>
          <w:t>Santorini ongoing earthquake swarm, UNE</w:t>
        </w:r>
        <w:r w:rsidR="00057B2A" w:rsidRPr="00057B2A">
          <w:rPr>
            <w:rStyle w:val="Hyperlink"/>
          </w:rPr>
          <w:t>SCO 17</w:t>
        </w:r>
        <w:r w:rsidR="00057B2A" w:rsidRPr="00057B2A">
          <w:rPr>
            <w:rStyle w:val="Hyperlink"/>
            <w:vertAlign w:val="superscript"/>
          </w:rPr>
          <w:t>th</w:t>
        </w:r>
        <w:r w:rsidR="00057B2A" w:rsidRPr="00057B2A">
          <w:rPr>
            <w:rStyle w:val="Hyperlink"/>
          </w:rPr>
          <w:t xml:space="preserve"> February 2025</w:t>
        </w:r>
      </w:hyperlink>
      <w:r w:rsidR="00057B2A">
        <w:t xml:space="preserve"> </w:t>
      </w:r>
    </w:p>
    <w:sectPr w:rsidR="00E02682" w:rsidRPr="00603575" w:rsidSect="003B6E97">
      <w:headerReference w:type="even" r:id="rId19"/>
      <w:headerReference w:type="default" r:id="rId20"/>
      <w:footerReference w:type="default" r:id="rId21"/>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CA8A9" w14:textId="77777777" w:rsidR="007E0B99" w:rsidRDefault="007E0B99">
      <w:r>
        <w:separator/>
      </w:r>
    </w:p>
  </w:endnote>
  <w:endnote w:type="continuationSeparator" w:id="0">
    <w:p w14:paraId="754DED7F" w14:textId="77777777" w:rsidR="007E0B99" w:rsidRDefault="007E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59053" w14:textId="77777777" w:rsidR="008B09BD" w:rsidRDefault="008B09BD" w:rsidP="003A6B88">
    <w:pPr>
      <w:pStyle w:val="Footer"/>
      <w:jc w:val="right"/>
    </w:pPr>
    <w:r>
      <w:fldChar w:fldCharType="begin"/>
    </w:r>
    <w:r>
      <w:instrText xml:space="preserve"> PAGE  \* Arabic  \* MERGEFORMAT </w:instrText>
    </w:r>
    <w:r>
      <w:fldChar w:fldCharType="separate"/>
    </w:r>
    <w:r w:rsidR="00EE2C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69DBA" w14:textId="77777777" w:rsidR="007E0B99" w:rsidRDefault="007E0B99">
      <w:r>
        <w:separator/>
      </w:r>
    </w:p>
  </w:footnote>
  <w:footnote w:type="continuationSeparator" w:id="0">
    <w:p w14:paraId="7286DF4B" w14:textId="77777777" w:rsidR="007E0B99" w:rsidRDefault="007E0B99">
      <w:r>
        <w:continuationSeparator/>
      </w:r>
    </w:p>
  </w:footnote>
  <w:footnote w:id="1">
    <w:p w14:paraId="37C06937" w14:textId="77777777" w:rsidR="00257653" w:rsidRDefault="00257653" w:rsidP="00257653">
      <w:pPr>
        <w:pStyle w:val="FootnoteText"/>
      </w:pPr>
      <w:r>
        <w:rPr>
          <w:rStyle w:val="FootnoteReference"/>
        </w:rPr>
        <w:footnoteRef/>
      </w:r>
      <w:r>
        <w:t xml:space="preserve"> </w:t>
      </w:r>
      <w:hyperlink r:id="rId1" w:history="1">
        <w:r w:rsidRPr="00B573EC">
          <w:rPr>
            <w:rStyle w:val="Hyperlink"/>
          </w:rPr>
          <w:t>Quake statistics: Greece, Volcano Discovery</w:t>
        </w:r>
      </w:hyperlink>
    </w:p>
  </w:footnote>
  <w:footnote w:id="2">
    <w:p w14:paraId="0A36373D" w14:textId="77777777" w:rsidR="007B14D5" w:rsidRDefault="007B14D5" w:rsidP="007B14D5">
      <w:pPr>
        <w:pStyle w:val="FootnoteText"/>
      </w:pPr>
      <w:r>
        <w:rPr>
          <w:rStyle w:val="FootnoteReference"/>
        </w:rPr>
        <w:footnoteRef/>
      </w:r>
      <w:r>
        <w:t xml:space="preserve"> </w:t>
      </w:r>
      <w:hyperlink r:id="rId2" w:history="1">
        <w:r w:rsidRPr="00C30682">
          <w:rPr>
            <w:rStyle w:val="Hyperlink"/>
          </w:rPr>
          <w:t>USGS – difference between aftershocks and earthquake swarms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60038" w14:textId="77777777" w:rsidR="009D2AA4" w:rsidRDefault="00565E71">
    <w:pPr>
      <w:pStyle w:val="Header"/>
    </w:pPr>
    <w:r>
      <w:rPr>
        <w:noProof/>
        <w:lang w:eastAsia="en-GB"/>
      </w:rPr>
      <mc:AlternateContent>
        <mc:Choice Requires="wpg">
          <w:drawing>
            <wp:anchor distT="0" distB="0" distL="114300" distR="114300" simplePos="0" relativeHeight="251659776" behindDoc="0" locked="0" layoutInCell="1" allowOverlap="1" wp14:anchorId="7AF03372" wp14:editId="6BF29C77">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27A32F5C"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7728" behindDoc="0" locked="1" layoutInCell="1" allowOverlap="1" wp14:anchorId="55696B67" wp14:editId="484A3718">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696B67"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227D"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7CAEC" w14:textId="77777777" w:rsidR="009D2AA4" w:rsidRDefault="003A6B88">
    <w:pPr>
      <w:pStyle w:val="Header"/>
    </w:pPr>
    <w:r>
      <w:rPr>
        <w:noProof/>
        <w:lang w:eastAsia="en-GB"/>
      </w:rPr>
      <w:drawing>
        <wp:inline distT="0" distB="0" distL="0" distR="0" wp14:anchorId="6230640A" wp14:editId="757AC90B">
          <wp:extent cx="6153150"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8BAD33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701853" o:spid="_x0000_i1025" type="#_x0000_t75" style="width:21pt;height:20.25pt;visibility:visible;mso-wrap-style:square">
            <v:imagedata r:id="rId1" o:title=""/>
          </v:shape>
        </w:pict>
      </mc:Choice>
      <mc:Fallback>
        <w:drawing>
          <wp:inline distT="0" distB="0" distL="0" distR="0" wp14:anchorId="1010A904" wp14:editId="6A30BC31">
            <wp:extent cx="266700" cy="257175"/>
            <wp:effectExtent l="0" t="0" r="0" b="0"/>
            <wp:docPr id="97701853" name="Picture 9770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mc:Fallback>
    </mc:AlternateConten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6"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2362238">
    <w:abstractNumId w:val="2"/>
  </w:num>
  <w:num w:numId="2" w16cid:durableId="1598755851">
    <w:abstractNumId w:val="2"/>
  </w:num>
  <w:num w:numId="3" w16cid:durableId="219559410">
    <w:abstractNumId w:val="2"/>
  </w:num>
  <w:num w:numId="4" w16cid:durableId="1816868938">
    <w:abstractNumId w:val="18"/>
  </w:num>
  <w:num w:numId="5" w16cid:durableId="1220626742">
    <w:abstractNumId w:val="9"/>
  </w:num>
  <w:num w:numId="6" w16cid:durableId="1274172830">
    <w:abstractNumId w:val="16"/>
  </w:num>
  <w:num w:numId="7" w16cid:durableId="664361070">
    <w:abstractNumId w:val="3"/>
  </w:num>
  <w:num w:numId="8" w16cid:durableId="1933665783">
    <w:abstractNumId w:val="22"/>
  </w:num>
  <w:num w:numId="9" w16cid:durableId="1569029286">
    <w:abstractNumId w:val="28"/>
  </w:num>
  <w:num w:numId="10" w16cid:durableId="133839175">
    <w:abstractNumId w:val="4"/>
  </w:num>
  <w:num w:numId="11" w16cid:durableId="1530875473">
    <w:abstractNumId w:val="14"/>
  </w:num>
  <w:num w:numId="12" w16cid:durableId="358892131">
    <w:abstractNumId w:val="26"/>
  </w:num>
  <w:num w:numId="13" w16cid:durableId="28068035">
    <w:abstractNumId w:val="13"/>
  </w:num>
  <w:num w:numId="14" w16cid:durableId="1514150753">
    <w:abstractNumId w:val="20"/>
  </w:num>
  <w:num w:numId="15" w16cid:durableId="1056779099">
    <w:abstractNumId w:val="21"/>
  </w:num>
  <w:num w:numId="16" w16cid:durableId="1362394335">
    <w:abstractNumId w:val="31"/>
  </w:num>
  <w:num w:numId="17" w16cid:durableId="1022171436">
    <w:abstractNumId w:val="10"/>
  </w:num>
  <w:num w:numId="18" w16cid:durableId="1391806123">
    <w:abstractNumId w:val="23"/>
  </w:num>
  <w:num w:numId="19" w16cid:durableId="1439330096">
    <w:abstractNumId w:val="27"/>
  </w:num>
  <w:num w:numId="20" w16cid:durableId="1989245625">
    <w:abstractNumId w:val="8"/>
  </w:num>
  <w:num w:numId="21" w16cid:durableId="1634361290">
    <w:abstractNumId w:val="25"/>
  </w:num>
  <w:num w:numId="22" w16cid:durableId="1457914337">
    <w:abstractNumId w:val="30"/>
  </w:num>
  <w:num w:numId="23" w16cid:durableId="1866477126">
    <w:abstractNumId w:val="6"/>
  </w:num>
  <w:num w:numId="24" w16cid:durableId="1370952511">
    <w:abstractNumId w:val="17"/>
  </w:num>
  <w:num w:numId="25" w16cid:durableId="753360194">
    <w:abstractNumId w:val="5"/>
  </w:num>
  <w:num w:numId="26" w16cid:durableId="533732581">
    <w:abstractNumId w:val="29"/>
  </w:num>
  <w:num w:numId="27" w16cid:durableId="1138646051">
    <w:abstractNumId w:val="1"/>
  </w:num>
  <w:num w:numId="28" w16cid:durableId="789130528">
    <w:abstractNumId w:val="19"/>
  </w:num>
  <w:num w:numId="29" w16cid:durableId="76102436">
    <w:abstractNumId w:val="12"/>
  </w:num>
  <w:num w:numId="30" w16cid:durableId="1700272786">
    <w:abstractNumId w:val="11"/>
  </w:num>
  <w:num w:numId="31" w16cid:durableId="1640846241">
    <w:abstractNumId w:val="0"/>
  </w:num>
  <w:num w:numId="32" w16cid:durableId="1800949932">
    <w:abstractNumId w:val="7"/>
  </w:num>
  <w:num w:numId="33" w16cid:durableId="298607389">
    <w:abstractNumId w:val="19"/>
  </w:num>
  <w:num w:numId="34" w16cid:durableId="1506750160">
    <w:abstractNumId w:val="24"/>
  </w:num>
  <w:num w:numId="35" w16cid:durableId="2084528653">
    <w:abstractNumId w:val="15"/>
  </w:num>
  <w:num w:numId="36" w16cid:durableId="1257792021">
    <w:abstractNumId w:val="11"/>
  </w:num>
  <w:num w:numId="37" w16cid:durableId="131164181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B6E97"/>
    <w:rsid w:val="0000162B"/>
    <w:rsid w:val="00002564"/>
    <w:rsid w:val="00007642"/>
    <w:rsid w:val="00011C1C"/>
    <w:rsid w:val="00020088"/>
    <w:rsid w:val="00023AEF"/>
    <w:rsid w:val="00031BA5"/>
    <w:rsid w:val="000414A8"/>
    <w:rsid w:val="0004565F"/>
    <w:rsid w:val="00045C95"/>
    <w:rsid w:val="0005232D"/>
    <w:rsid w:val="00057B2A"/>
    <w:rsid w:val="00075520"/>
    <w:rsid w:val="0008432F"/>
    <w:rsid w:val="000858C8"/>
    <w:rsid w:val="000A189B"/>
    <w:rsid w:val="000B0554"/>
    <w:rsid w:val="000B0F62"/>
    <w:rsid w:val="000B1F14"/>
    <w:rsid w:val="000B4DE8"/>
    <w:rsid w:val="000B5A3C"/>
    <w:rsid w:val="000B6DAB"/>
    <w:rsid w:val="000C1096"/>
    <w:rsid w:val="000C4849"/>
    <w:rsid w:val="000D0B95"/>
    <w:rsid w:val="000F0D06"/>
    <w:rsid w:val="0010052D"/>
    <w:rsid w:val="0010148F"/>
    <w:rsid w:val="00101F41"/>
    <w:rsid w:val="00106E81"/>
    <w:rsid w:val="001100D9"/>
    <w:rsid w:val="001226A4"/>
    <w:rsid w:val="0012619F"/>
    <w:rsid w:val="00132969"/>
    <w:rsid w:val="00136235"/>
    <w:rsid w:val="00144384"/>
    <w:rsid w:val="00144C8B"/>
    <w:rsid w:val="001473A7"/>
    <w:rsid w:val="00155C72"/>
    <w:rsid w:val="00160C8D"/>
    <w:rsid w:val="001617FC"/>
    <w:rsid w:val="0017221C"/>
    <w:rsid w:val="00172A68"/>
    <w:rsid w:val="00174AC0"/>
    <w:rsid w:val="00185599"/>
    <w:rsid w:val="00192B49"/>
    <w:rsid w:val="001B26E2"/>
    <w:rsid w:val="001C3205"/>
    <w:rsid w:val="001C5275"/>
    <w:rsid w:val="001D1F2A"/>
    <w:rsid w:val="001D56B2"/>
    <w:rsid w:val="001E2892"/>
    <w:rsid w:val="001E3FD0"/>
    <w:rsid w:val="00200345"/>
    <w:rsid w:val="0021583E"/>
    <w:rsid w:val="00221BE5"/>
    <w:rsid w:val="002276C0"/>
    <w:rsid w:val="0024222A"/>
    <w:rsid w:val="002451AD"/>
    <w:rsid w:val="0025253D"/>
    <w:rsid w:val="00252737"/>
    <w:rsid w:val="002530A5"/>
    <w:rsid w:val="00257653"/>
    <w:rsid w:val="002800CF"/>
    <w:rsid w:val="002A0CFA"/>
    <w:rsid w:val="002A45FD"/>
    <w:rsid w:val="002A77AE"/>
    <w:rsid w:val="002B3937"/>
    <w:rsid w:val="002D056E"/>
    <w:rsid w:val="002D7415"/>
    <w:rsid w:val="002F714E"/>
    <w:rsid w:val="0031000F"/>
    <w:rsid w:val="00314715"/>
    <w:rsid w:val="00326FB0"/>
    <w:rsid w:val="003272AC"/>
    <w:rsid w:val="00327BA2"/>
    <w:rsid w:val="003302BD"/>
    <w:rsid w:val="0034268F"/>
    <w:rsid w:val="00346482"/>
    <w:rsid w:val="00355460"/>
    <w:rsid w:val="00355833"/>
    <w:rsid w:val="00363DAE"/>
    <w:rsid w:val="00364EFD"/>
    <w:rsid w:val="00367229"/>
    <w:rsid w:val="003735BB"/>
    <w:rsid w:val="00381893"/>
    <w:rsid w:val="00392150"/>
    <w:rsid w:val="003923D3"/>
    <w:rsid w:val="00396A65"/>
    <w:rsid w:val="003A1822"/>
    <w:rsid w:val="003A6B88"/>
    <w:rsid w:val="003B2EED"/>
    <w:rsid w:val="003B6E97"/>
    <w:rsid w:val="003C2A74"/>
    <w:rsid w:val="003C2FA7"/>
    <w:rsid w:val="004052AF"/>
    <w:rsid w:val="00407AF8"/>
    <w:rsid w:val="00410559"/>
    <w:rsid w:val="0041383D"/>
    <w:rsid w:val="004162A4"/>
    <w:rsid w:val="004165B8"/>
    <w:rsid w:val="00417437"/>
    <w:rsid w:val="00417ADE"/>
    <w:rsid w:val="0042474C"/>
    <w:rsid w:val="004267F9"/>
    <w:rsid w:val="00450F2B"/>
    <w:rsid w:val="004733F1"/>
    <w:rsid w:val="00481BA1"/>
    <w:rsid w:val="00481E63"/>
    <w:rsid w:val="004C2CC6"/>
    <w:rsid w:val="004F6E3E"/>
    <w:rsid w:val="0050485C"/>
    <w:rsid w:val="0050768D"/>
    <w:rsid w:val="005109AC"/>
    <w:rsid w:val="00527F75"/>
    <w:rsid w:val="0053104B"/>
    <w:rsid w:val="00534B87"/>
    <w:rsid w:val="00534FFF"/>
    <w:rsid w:val="0054373F"/>
    <w:rsid w:val="0055183E"/>
    <w:rsid w:val="00551D3B"/>
    <w:rsid w:val="00557B75"/>
    <w:rsid w:val="00565E71"/>
    <w:rsid w:val="00571B16"/>
    <w:rsid w:val="005932D8"/>
    <w:rsid w:val="005954DF"/>
    <w:rsid w:val="005D0388"/>
    <w:rsid w:val="005E06A0"/>
    <w:rsid w:val="005F42BC"/>
    <w:rsid w:val="00603575"/>
    <w:rsid w:val="0060528D"/>
    <w:rsid w:val="006054FF"/>
    <w:rsid w:val="006147D8"/>
    <w:rsid w:val="00626EDA"/>
    <w:rsid w:val="00630420"/>
    <w:rsid w:val="0063062C"/>
    <w:rsid w:val="0063403D"/>
    <w:rsid w:val="00635656"/>
    <w:rsid w:val="00642070"/>
    <w:rsid w:val="00664B45"/>
    <w:rsid w:val="00664B8B"/>
    <w:rsid w:val="00672548"/>
    <w:rsid w:val="006729DD"/>
    <w:rsid w:val="006738A5"/>
    <w:rsid w:val="00673DB8"/>
    <w:rsid w:val="00684975"/>
    <w:rsid w:val="00692E0E"/>
    <w:rsid w:val="00694476"/>
    <w:rsid w:val="00697622"/>
    <w:rsid w:val="006A1AA1"/>
    <w:rsid w:val="006A1D87"/>
    <w:rsid w:val="006A2E6F"/>
    <w:rsid w:val="006A3139"/>
    <w:rsid w:val="006A6BD5"/>
    <w:rsid w:val="006B60EE"/>
    <w:rsid w:val="006C3B1E"/>
    <w:rsid w:val="006C7F05"/>
    <w:rsid w:val="006D7A8E"/>
    <w:rsid w:val="006E143B"/>
    <w:rsid w:val="006E367F"/>
    <w:rsid w:val="006E4D2E"/>
    <w:rsid w:val="006F3590"/>
    <w:rsid w:val="006F49A9"/>
    <w:rsid w:val="006F5612"/>
    <w:rsid w:val="00702442"/>
    <w:rsid w:val="0072689F"/>
    <w:rsid w:val="00734EBD"/>
    <w:rsid w:val="00743757"/>
    <w:rsid w:val="00747C6F"/>
    <w:rsid w:val="0075131C"/>
    <w:rsid w:val="0075744D"/>
    <w:rsid w:val="007653D3"/>
    <w:rsid w:val="0076787D"/>
    <w:rsid w:val="00775FE8"/>
    <w:rsid w:val="00777AC9"/>
    <w:rsid w:val="0078289D"/>
    <w:rsid w:val="0078361B"/>
    <w:rsid w:val="007865C8"/>
    <w:rsid w:val="00795662"/>
    <w:rsid w:val="007A332A"/>
    <w:rsid w:val="007A401C"/>
    <w:rsid w:val="007B14D5"/>
    <w:rsid w:val="007B5402"/>
    <w:rsid w:val="007C199B"/>
    <w:rsid w:val="007C1C3F"/>
    <w:rsid w:val="007C48F0"/>
    <w:rsid w:val="007D48BA"/>
    <w:rsid w:val="007E0B99"/>
    <w:rsid w:val="00816340"/>
    <w:rsid w:val="00823165"/>
    <w:rsid w:val="00823B9F"/>
    <w:rsid w:val="008408A9"/>
    <w:rsid w:val="00853402"/>
    <w:rsid w:val="008560EB"/>
    <w:rsid w:val="008567B0"/>
    <w:rsid w:val="0086647E"/>
    <w:rsid w:val="008718F3"/>
    <w:rsid w:val="0087480F"/>
    <w:rsid w:val="00877ED8"/>
    <w:rsid w:val="00884D92"/>
    <w:rsid w:val="0089541F"/>
    <w:rsid w:val="008958B9"/>
    <w:rsid w:val="008B09BD"/>
    <w:rsid w:val="008B608B"/>
    <w:rsid w:val="008C1F40"/>
    <w:rsid w:val="008D3C34"/>
    <w:rsid w:val="008E29C6"/>
    <w:rsid w:val="008F08A6"/>
    <w:rsid w:val="008F1587"/>
    <w:rsid w:val="008F305D"/>
    <w:rsid w:val="008F644F"/>
    <w:rsid w:val="00900A25"/>
    <w:rsid w:val="009128D7"/>
    <w:rsid w:val="00914BFF"/>
    <w:rsid w:val="00921BD7"/>
    <w:rsid w:val="00934E28"/>
    <w:rsid w:val="009350D3"/>
    <w:rsid w:val="00936F3E"/>
    <w:rsid w:val="00965A15"/>
    <w:rsid w:val="00965BBC"/>
    <w:rsid w:val="00980A77"/>
    <w:rsid w:val="009817A2"/>
    <w:rsid w:val="00982DC0"/>
    <w:rsid w:val="009849EA"/>
    <w:rsid w:val="00985013"/>
    <w:rsid w:val="00987759"/>
    <w:rsid w:val="00992218"/>
    <w:rsid w:val="009922B9"/>
    <w:rsid w:val="009A0BB2"/>
    <w:rsid w:val="009A1C17"/>
    <w:rsid w:val="009A2A08"/>
    <w:rsid w:val="009A3327"/>
    <w:rsid w:val="009B23BB"/>
    <w:rsid w:val="009B241D"/>
    <w:rsid w:val="009C1D8C"/>
    <w:rsid w:val="009C5F9B"/>
    <w:rsid w:val="009D0639"/>
    <w:rsid w:val="009D2AA4"/>
    <w:rsid w:val="009D2D59"/>
    <w:rsid w:val="009E5DCA"/>
    <w:rsid w:val="009F38DA"/>
    <w:rsid w:val="009F737E"/>
    <w:rsid w:val="00A017D6"/>
    <w:rsid w:val="00A11EB6"/>
    <w:rsid w:val="00A17F33"/>
    <w:rsid w:val="00A24EE2"/>
    <w:rsid w:val="00A31E10"/>
    <w:rsid w:val="00A4179C"/>
    <w:rsid w:val="00A41FAF"/>
    <w:rsid w:val="00A57CEF"/>
    <w:rsid w:val="00A62FD1"/>
    <w:rsid w:val="00A65DEB"/>
    <w:rsid w:val="00A6777F"/>
    <w:rsid w:val="00A67DE9"/>
    <w:rsid w:val="00A805B8"/>
    <w:rsid w:val="00A834CF"/>
    <w:rsid w:val="00A861D9"/>
    <w:rsid w:val="00A87A81"/>
    <w:rsid w:val="00A974D5"/>
    <w:rsid w:val="00AA0B52"/>
    <w:rsid w:val="00AB3B39"/>
    <w:rsid w:val="00AB7BAF"/>
    <w:rsid w:val="00AC3180"/>
    <w:rsid w:val="00AC5B3C"/>
    <w:rsid w:val="00AD66ED"/>
    <w:rsid w:val="00AD73E9"/>
    <w:rsid w:val="00AE1345"/>
    <w:rsid w:val="00AE1D92"/>
    <w:rsid w:val="00AE6FE1"/>
    <w:rsid w:val="00B00217"/>
    <w:rsid w:val="00B12BBD"/>
    <w:rsid w:val="00B14AE4"/>
    <w:rsid w:val="00B41BF0"/>
    <w:rsid w:val="00B42A67"/>
    <w:rsid w:val="00B5181E"/>
    <w:rsid w:val="00B52F60"/>
    <w:rsid w:val="00B5332B"/>
    <w:rsid w:val="00B55C0B"/>
    <w:rsid w:val="00B5670C"/>
    <w:rsid w:val="00B573EC"/>
    <w:rsid w:val="00B676A6"/>
    <w:rsid w:val="00B70101"/>
    <w:rsid w:val="00B85BAF"/>
    <w:rsid w:val="00B94924"/>
    <w:rsid w:val="00B97DFA"/>
    <w:rsid w:val="00BA3BC4"/>
    <w:rsid w:val="00BA6DE6"/>
    <w:rsid w:val="00BB45B7"/>
    <w:rsid w:val="00BC2FC7"/>
    <w:rsid w:val="00BC377A"/>
    <w:rsid w:val="00BC6767"/>
    <w:rsid w:val="00BD29BC"/>
    <w:rsid w:val="00BF4F58"/>
    <w:rsid w:val="00BF77E4"/>
    <w:rsid w:val="00C02692"/>
    <w:rsid w:val="00C0274D"/>
    <w:rsid w:val="00C0338C"/>
    <w:rsid w:val="00C0347B"/>
    <w:rsid w:val="00C04E68"/>
    <w:rsid w:val="00C05B7D"/>
    <w:rsid w:val="00C27FD3"/>
    <w:rsid w:val="00C30682"/>
    <w:rsid w:val="00C451DF"/>
    <w:rsid w:val="00C47328"/>
    <w:rsid w:val="00C513EB"/>
    <w:rsid w:val="00C52023"/>
    <w:rsid w:val="00C55624"/>
    <w:rsid w:val="00C729F2"/>
    <w:rsid w:val="00C74BCF"/>
    <w:rsid w:val="00CA51FE"/>
    <w:rsid w:val="00CB1627"/>
    <w:rsid w:val="00CC1EAE"/>
    <w:rsid w:val="00CD5AE3"/>
    <w:rsid w:val="00CD7052"/>
    <w:rsid w:val="00CE1092"/>
    <w:rsid w:val="00CE5CD9"/>
    <w:rsid w:val="00CE7E30"/>
    <w:rsid w:val="00D00A48"/>
    <w:rsid w:val="00D30F9F"/>
    <w:rsid w:val="00D31DC9"/>
    <w:rsid w:val="00D32497"/>
    <w:rsid w:val="00D3357C"/>
    <w:rsid w:val="00D378F0"/>
    <w:rsid w:val="00D429F1"/>
    <w:rsid w:val="00D42D0E"/>
    <w:rsid w:val="00D44633"/>
    <w:rsid w:val="00D51DB7"/>
    <w:rsid w:val="00D6381D"/>
    <w:rsid w:val="00D776BD"/>
    <w:rsid w:val="00D832F5"/>
    <w:rsid w:val="00D87765"/>
    <w:rsid w:val="00D92B30"/>
    <w:rsid w:val="00D932BD"/>
    <w:rsid w:val="00D95304"/>
    <w:rsid w:val="00D95C74"/>
    <w:rsid w:val="00DA19A2"/>
    <w:rsid w:val="00DA59B9"/>
    <w:rsid w:val="00DB3249"/>
    <w:rsid w:val="00DB7648"/>
    <w:rsid w:val="00DC1D34"/>
    <w:rsid w:val="00DC4920"/>
    <w:rsid w:val="00DD0159"/>
    <w:rsid w:val="00DD288B"/>
    <w:rsid w:val="00DE5ABE"/>
    <w:rsid w:val="00DF0E9A"/>
    <w:rsid w:val="00DF2AB3"/>
    <w:rsid w:val="00E02682"/>
    <w:rsid w:val="00E0456F"/>
    <w:rsid w:val="00E05418"/>
    <w:rsid w:val="00E16917"/>
    <w:rsid w:val="00E24AE9"/>
    <w:rsid w:val="00E27AF7"/>
    <w:rsid w:val="00E35A21"/>
    <w:rsid w:val="00E361E3"/>
    <w:rsid w:val="00E45847"/>
    <w:rsid w:val="00E4688C"/>
    <w:rsid w:val="00E562A2"/>
    <w:rsid w:val="00E63A08"/>
    <w:rsid w:val="00E707F8"/>
    <w:rsid w:val="00E878BF"/>
    <w:rsid w:val="00E909BE"/>
    <w:rsid w:val="00E93CFE"/>
    <w:rsid w:val="00EA0C4B"/>
    <w:rsid w:val="00EA2841"/>
    <w:rsid w:val="00EA4EEC"/>
    <w:rsid w:val="00EB473F"/>
    <w:rsid w:val="00EB4B19"/>
    <w:rsid w:val="00EB5770"/>
    <w:rsid w:val="00EC4CF8"/>
    <w:rsid w:val="00ED5FF4"/>
    <w:rsid w:val="00EE2C15"/>
    <w:rsid w:val="00EF2CDF"/>
    <w:rsid w:val="00EF6F26"/>
    <w:rsid w:val="00F22DEA"/>
    <w:rsid w:val="00F32F8E"/>
    <w:rsid w:val="00F33D60"/>
    <w:rsid w:val="00F34143"/>
    <w:rsid w:val="00F3599F"/>
    <w:rsid w:val="00F43297"/>
    <w:rsid w:val="00F5069D"/>
    <w:rsid w:val="00F60DFC"/>
    <w:rsid w:val="00F632D8"/>
    <w:rsid w:val="00F72567"/>
    <w:rsid w:val="00F81253"/>
    <w:rsid w:val="00F95593"/>
    <w:rsid w:val="00F965F3"/>
    <w:rsid w:val="00FB34E0"/>
    <w:rsid w:val="00FB5538"/>
    <w:rsid w:val="00FB7B48"/>
    <w:rsid w:val="00FC2543"/>
    <w:rsid w:val="00FC3C94"/>
    <w:rsid w:val="00FD56A4"/>
    <w:rsid w:val="00FE332F"/>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2E575F"/>
  <w15:docId w15:val="{6BCFE524-60EA-4809-B2C7-FBB10752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5"/>
      </w:numPr>
    </w:pPr>
  </w:style>
  <w:style w:type="paragraph" w:styleId="FootnoteText">
    <w:name w:val="footnote text"/>
    <w:basedOn w:val="Normal"/>
    <w:link w:val="FootnoteTextChar"/>
    <w:uiPriority w:val="99"/>
    <w:semiHidden/>
    <w:unhideWhenUsed/>
    <w:rsid w:val="00FC2543"/>
    <w:rPr>
      <w:sz w:val="20"/>
      <w:szCs w:val="20"/>
    </w:rPr>
  </w:style>
  <w:style w:type="character" w:customStyle="1" w:styleId="FootnoteTextChar">
    <w:name w:val="Footnote Text Char"/>
    <w:basedOn w:val="DefaultParagraphFont"/>
    <w:link w:val="FootnoteText"/>
    <w:uiPriority w:val="99"/>
    <w:semiHidden/>
    <w:rsid w:val="00FC2543"/>
    <w:rPr>
      <w:rFonts w:ascii="Arial" w:hAnsi="Arial"/>
      <w:lang w:eastAsia="en-US"/>
    </w:rPr>
  </w:style>
  <w:style w:type="character" w:styleId="FootnoteReference">
    <w:name w:val="footnote reference"/>
    <w:basedOn w:val="DefaultParagraphFont"/>
    <w:uiPriority w:val="99"/>
    <w:semiHidden/>
    <w:unhideWhenUsed/>
    <w:rsid w:val="00FC2543"/>
    <w:rPr>
      <w:vertAlign w:val="superscript"/>
    </w:rPr>
  </w:style>
  <w:style w:type="character" w:styleId="Hyperlink">
    <w:name w:val="Hyperlink"/>
    <w:basedOn w:val="DefaultParagraphFont"/>
    <w:uiPriority w:val="99"/>
    <w:unhideWhenUsed/>
    <w:rsid w:val="00B573EC"/>
    <w:rPr>
      <w:color w:val="0000FF" w:themeColor="hyperlink"/>
      <w:u w:val="single"/>
    </w:rPr>
  </w:style>
  <w:style w:type="character" w:styleId="UnresolvedMention">
    <w:name w:val="Unresolved Mention"/>
    <w:basedOn w:val="DefaultParagraphFont"/>
    <w:uiPriority w:val="99"/>
    <w:semiHidden/>
    <w:unhideWhenUsed/>
    <w:rsid w:val="00B573EC"/>
    <w:rPr>
      <w:color w:val="605E5C"/>
      <w:shd w:val="clear" w:color="auto" w:fill="E1DFDD"/>
    </w:rPr>
  </w:style>
  <w:style w:type="character" w:styleId="FollowedHyperlink">
    <w:name w:val="FollowedHyperlink"/>
    <w:basedOn w:val="DefaultParagraphFont"/>
    <w:uiPriority w:val="99"/>
    <w:semiHidden/>
    <w:unhideWhenUsed/>
    <w:rsid w:val="00734E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2161">
      <w:bodyDiv w:val="1"/>
      <w:marLeft w:val="0"/>
      <w:marRight w:val="0"/>
      <w:marTop w:val="0"/>
      <w:marBottom w:val="0"/>
      <w:divBdr>
        <w:top w:val="none" w:sz="0" w:space="0" w:color="auto"/>
        <w:left w:val="none" w:sz="0" w:space="0" w:color="auto"/>
        <w:bottom w:val="none" w:sz="0" w:space="0" w:color="auto"/>
        <w:right w:val="none" w:sz="0" w:space="0" w:color="auto"/>
      </w:divBdr>
    </w:div>
    <w:div w:id="110824486">
      <w:bodyDiv w:val="1"/>
      <w:marLeft w:val="0"/>
      <w:marRight w:val="0"/>
      <w:marTop w:val="0"/>
      <w:marBottom w:val="0"/>
      <w:divBdr>
        <w:top w:val="none" w:sz="0" w:space="0" w:color="auto"/>
        <w:left w:val="none" w:sz="0" w:space="0" w:color="auto"/>
        <w:bottom w:val="none" w:sz="0" w:space="0" w:color="auto"/>
        <w:right w:val="none" w:sz="0" w:space="0" w:color="auto"/>
      </w:divBdr>
    </w:div>
    <w:div w:id="232352329">
      <w:bodyDiv w:val="1"/>
      <w:marLeft w:val="0"/>
      <w:marRight w:val="0"/>
      <w:marTop w:val="0"/>
      <w:marBottom w:val="0"/>
      <w:divBdr>
        <w:top w:val="none" w:sz="0" w:space="0" w:color="auto"/>
        <w:left w:val="none" w:sz="0" w:space="0" w:color="auto"/>
        <w:bottom w:val="none" w:sz="0" w:space="0" w:color="auto"/>
        <w:right w:val="none" w:sz="0" w:space="0" w:color="auto"/>
      </w:divBdr>
    </w:div>
    <w:div w:id="320280330">
      <w:bodyDiv w:val="1"/>
      <w:marLeft w:val="0"/>
      <w:marRight w:val="0"/>
      <w:marTop w:val="0"/>
      <w:marBottom w:val="0"/>
      <w:divBdr>
        <w:top w:val="none" w:sz="0" w:space="0" w:color="auto"/>
        <w:left w:val="none" w:sz="0" w:space="0" w:color="auto"/>
        <w:bottom w:val="none" w:sz="0" w:space="0" w:color="auto"/>
        <w:right w:val="none" w:sz="0" w:space="0" w:color="auto"/>
      </w:divBdr>
    </w:div>
    <w:div w:id="321200036">
      <w:bodyDiv w:val="1"/>
      <w:marLeft w:val="0"/>
      <w:marRight w:val="0"/>
      <w:marTop w:val="0"/>
      <w:marBottom w:val="0"/>
      <w:divBdr>
        <w:top w:val="none" w:sz="0" w:space="0" w:color="auto"/>
        <w:left w:val="none" w:sz="0" w:space="0" w:color="auto"/>
        <w:bottom w:val="none" w:sz="0" w:space="0" w:color="auto"/>
        <w:right w:val="none" w:sz="0" w:space="0" w:color="auto"/>
      </w:divBdr>
    </w:div>
    <w:div w:id="1340695309">
      <w:bodyDiv w:val="1"/>
      <w:marLeft w:val="0"/>
      <w:marRight w:val="0"/>
      <w:marTop w:val="0"/>
      <w:marBottom w:val="0"/>
      <w:divBdr>
        <w:top w:val="none" w:sz="0" w:space="0" w:color="auto"/>
        <w:left w:val="none" w:sz="0" w:space="0" w:color="auto"/>
        <w:bottom w:val="none" w:sz="0" w:space="0" w:color="auto"/>
        <w:right w:val="none" w:sz="0" w:space="0" w:color="auto"/>
      </w:divBdr>
    </w:div>
    <w:div w:id="1362852550">
      <w:bodyDiv w:val="1"/>
      <w:marLeft w:val="0"/>
      <w:marRight w:val="0"/>
      <w:marTop w:val="0"/>
      <w:marBottom w:val="0"/>
      <w:divBdr>
        <w:top w:val="none" w:sz="0" w:space="0" w:color="auto"/>
        <w:left w:val="none" w:sz="0" w:space="0" w:color="auto"/>
        <w:bottom w:val="none" w:sz="0" w:space="0" w:color="auto"/>
        <w:right w:val="none" w:sz="0" w:space="0" w:color="auto"/>
      </w:divBdr>
    </w:div>
    <w:div w:id="1518041676">
      <w:bodyDiv w:val="1"/>
      <w:marLeft w:val="0"/>
      <w:marRight w:val="0"/>
      <w:marTop w:val="0"/>
      <w:marBottom w:val="0"/>
      <w:divBdr>
        <w:top w:val="none" w:sz="0" w:space="0" w:color="auto"/>
        <w:left w:val="none" w:sz="0" w:space="0" w:color="auto"/>
        <w:bottom w:val="none" w:sz="0" w:space="0" w:color="auto"/>
        <w:right w:val="none" w:sz="0" w:space="0" w:color="auto"/>
      </w:divBdr>
    </w:div>
    <w:div w:id="1536623005">
      <w:bodyDiv w:val="1"/>
      <w:marLeft w:val="0"/>
      <w:marRight w:val="0"/>
      <w:marTop w:val="0"/>
      <w:marBottom w:val="0"/>
      <w:divBdr>
        <w:top w:val="none" w:sz="0" w:space="0" w:color="auto"/>
        <w:left w:val="none" w:sz="0" w:space="0" w:color="auto"/>
        <w:bottom w:val="none" w:sz="0" w:space="0" w:color="auto"/>
        <w:right w:val="none" w:sz="0" w:space="0" w:color="auto"/>
      </w:divBdr>
    </w:div>
    <w:div w:id="1708486708">
      <w:bodyDiv w:val="1"/>
      <w:marLeft w:val="0"/>
      <w:marRight w:val="0"/>
      <w:marTop w:val="0"/>
      <w:marBottom w:val="0"/>
      <w:divBdr>
        <w:top w:val="none" w:sz="0" w:space="0" w:color="auto"/>
        <w:left w:val="none" w:sz="0" w:space="0" w:color="auto"/>
        <w:bottom w:val="none" w:sz="0" w:space="0" w:color="auto"/>
        <w:right w:val="none" w:sz="0" w:space="0" w:color="auto"/>
      </w:divBdr>
    </w:div>
    <w:div w:id="1816557911">
      <w:bodyDiv w:val="1"/>
      <w:marLeft w:val="0"/>
      <w:marRight w:val="0"/>
      <w:marTop w:val="0"/>
      <w:marBottom w:val="0"/>
      <w:divBdr>
        <w:top w:val="none" w:sz="0" w:space="0" w:color="auto"/>
        <w:left w:val="none" w:sz="0" w:space="0" w:color="auto"/>
        <w:bottom w:val="none" w:sz="0" w:space="0" w:color="auto"/>
        <w:right w:val="none" w:sz="0" w:space="0" w:color="auto"/>
      </w:divBdr>
    </w:div>
    <w:div w:id="213732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9.png"/><Relationship Id="rId18" Type="http://schemas.openxmlformats.org/officeDocument/2006/relationships/hyperlink" Target="https://www.unesco.org/en/articles/santorini-ongoing-earthquake-swar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seismo.auth.gr/" TargetMode="External"/><Relationship Id="rId17" Type="http://schemas.openxmlformats.org/officeDocument/2006/relationships/hyperlink" Target="https://theconversation.com/an-earthquake-swarm-is-shaking-santorini-it-could-persist-for-months-249278" TargetMode="External"/><Relationship Id="rId2" Type="http://schemas.openxmlformats.org/officeDocument/2006/relationships/customXml" Target="../customXml/item2.xml"/><Relationship Id="rId16" Type="http://schemas.openxmlformats.org/officeDocument/2006/relationships/hyperlink" Target="https://www.bbc.co.uk/news/articles/cy485dz15qyo"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8.png"/><Relationship Id="rId5" Type="http://schemas.openxmlformats.org/officeDocument/2006/relationships/styles" Target="styles.xml"/><Relationship Id="rId15" Type="http://schemas.openxmlformats.org/officeDocument/2006/relationships/hyperlink" Target="https://www.bgs.ac.uk/news/artificial-intelligence-is-proving-a-game-changer-in-tracking-the-santorini-earthquake-swarm/"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0.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usgs.gov/faqs/what-difference-between-aftershocks-and-swarms" TargetMode="External"/><Relationship Id="rId1" Type="http://schemas.openxmlformats.org/officeDocument/2006/relationships/hyperlink" Target="https://www.volcanodiscovery.com/earthquakes/greece/stats.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5" Type="http://schemas.openxmlformats.org/officeDocument/2006/relationships/image" Target="media/image7.jpe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11.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8" ma:contentTypeDescription="Create a new document." ma:contentTypeScope="" ma:versionID="80b6d4c330bd052135854d6547464b9e">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612ded6ac3ecb0adab5874307195783d"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8661125-99c8-487d-84bf-1ca27cde5d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ec90089-538b-4d2c-8a1d-ff12a2002a92}" ma:internalName="TaxCatchAll" ma:showField="CatchAllData" ma:web="0515a49c-d695-4170-b908-46c0a4a40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F5995-076C-46F2-8DD6-AB3FCBBC51C8}">
  <ds:schemaRefs>
    <ds:schemaRef ds:uri="http://schemas.microsoft.com/sharepoint/v3/contenttype/forms"/>
  </ds:schemaRefs>
</ds:datastoreItem>
</file>

<file path=customXml/itemProps2.xml><?xml version="1.0" encoding="utf-8"?>
<ds:datastoreItem xmlns:ds="http://schemas.openxmlformats.org/officeDocument/2006/customXml" ds:itemID="{BA010E85-1E53-424B-B150-CF22DE17C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5B09BB-B3B6-40BC-9BEB-E669B3248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4</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Owen</dc:creator>
  <cp:lastModifiedBy>Rachel Owen</cp:lastModifiedBy>
  <cp:revision>182</cp:revision>
  <cp:lastPrinted>2004-07-08T14:42:00Z</cp:lastPrinted>
  <dcterms:created xsi:type="dcterms:W3CDTF">2024-02-22T14:00:00Z</dcterms:created>
  <dcterms:modified xsi:type="dcterms:W3CDTF">2025-03-03T16:17:00Z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